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00FAC" w:rsidRDefault="00300FAC">
      <w:pPr>
        <w:pStyle w:val="Title"/>
      </w:pPr>
      <w:r>
        <w:t xml:space="preserve">Vocabulary: </w:t>
      </w:r>
      <w:bookmarkStart w:id="0" w:name="OLE_LINK5"/>
      <w:bookmarkStart w:id="1" w:name="OLE_LINK6"/>
      <w:r w:rsidR="00D317D5">
        <w:t>Modeling</w:t>
      </w:r>
      <w:r w:rsidR="00676DD5">
        <w:t xml:space="preserve"> Fractions</w:t>
      </w:r>
    </w:p>
    <w:bookmarkEnd w:id="0"/>
    <w:bookmarkEnd w:id="1"/>
    <w:p w:rsidR="00300FAC" w:rsidRDefault="00300FAC">
      <w:pPr>
        <w:rPr>
          <w:rFonts w:ascii="Arial" w:hAnsi="Arial"/>
          <w:sz w:val="22"/>
        </w:rPr>
      </w:pPr>
    </w:p>
    <w:p w:rsidR="00300FAC" w:rsidRDefault="0097149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111125</wp:posOffset>
            </wp:positionV>
            <wp:extent cx="466090" cy="291465"/>
            <wp:effectExtent l="3810" t="1270" r="0" b="2540"/>
            <wp:wrapNone/>
            <wp:docPr id="1" name="Text Box 5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6609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300FAC" w:rsidRDefault="0097149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" cy="200025"/>
                              <wp:effectExtent l="0" t="0" r="0" b="0"/>
                              <wp:docPr id="10" name="Picture 10" descr="dictionary2"/>
                              <wp:cNvGraphicFramePr>
                                <a:graphicFrameLocks xmlns:a="http://purl.oclc.org/ooxml/drawingml/main" noChangeAspect="1"/>
                              </wp:cNvGraphicFramePr>
                              <a:graphic xmlns:a="http://purl.oclc.org/ooxml/drawingml/main">
                                <a:graphicData uri="http://purl.oclc.org/ooxml/drawingml/picture">
                                  <pic:pic xmlns:pic="http://purl.oclc.org/ooxml/drawingml/picture">
                                    <pic:nvPicPr>
                                      <pic:cNvPr id="0" name="Picture 10" descr="dictionar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start="18pt"/>
        <w:rPr>
          <w:rFonts w:ascii="Arial" w:hAnsi="Arial"/>
          <w:sz w:val="22"/>
        </w:rPr>
      </w:pPr>
    </w:p>
    <w:p w:rsidR="00300FAC" w:rsidRDefault="00BF428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 w:rsidR="00300FAC">
        <w:rPr>
          <w:rFonts w:ascii="Arial" w:hAnsi="Arial"/>
          <w:sz w:val="22"/>
        </w:rPr>
        <w:t xml:space="preserve"> – </w:t>
      </w:r>
      <w:r w:rsidR="005E21C5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bottom number in a fraction</w:t>
      </w:r>
      <w:r w:rsidR="005E21C5">
        <w:rPr>
          <w:rFonts w:ascii="Arial" w:hAnsi="Arial"/>
          <w:sz w:val="22"/>
        </w:rPr>
        <w:t>.</w:t>
      </w:r>
    </w:p>
    <w:p w:rsidR="00300FAC" w:rsidRDefault="00BF4283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5E21C5" w:rsidRDefault="00844BD3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fraction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pt;height:29.25pt" o:ole="">
                <v:imagedata r:id="rId8" o:title=""/>
              </v:shape>
              <o:OLEObject Type="Embed" ProgID="Equation.3" ShapeID="_x0000_i1025" DrawAspect="Content" ObjectID="_1615882059" r:id="rId9"/>
            </w:object>
          </mc:Choice>
          <mc:Fallback>
            <w:object>
              <w:drawing>
                <wp:inline distT="0" distB="0" distL="0" distR="0" wp14:anchorId="6E0F288D" wp14:editId="54138229">
                  <wp:extent cx="152400" cy="371475"/>
                  <wp:effectExtent l="0" t="0" r="0" b="9525"/>
                  <wp:docPr id="2" name="Object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59" isActiveX="0" linkType=""/>
                              </a:ext>
                            </a:extLst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9" w:progId="Equation.3" w:shapeId="2" w:fieldCodes=""/>
            </w:object>
          </mc:Fallback>
        </mc:AlternateContent>
      </w:r>
      <w:r>
        <w:rPr>
          <w:rFonts w:ascii="Arial" w:hAnsi="Arial"/>
          <w:sz w:val="22"/>
        </w:rPr>
        <w:t>, the denominator shows that the whole has been divided into 5 equal parts</w:t>
      </w:r>
      <w:r w:rsidR="005E21C5">
        <w:rPr>
          <w:rFonts w:ascii="Arial" w:hAnsi="Arial"/>
          <w:sz w:val="22"/>
        </w:rPr>
        <w:t>.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amount that one number is greater than another.</w:t>
      </w:r>
    </w:p>
    <w:p w:rsidR="00A80083" w:rsidRDefault="00676DD5" w:rsidP="00A80083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difference is the </w:t>
      </w:r>
      <w:r w:rsidR="00B47245">
        <w:rPr>
          <w:rFonts w:ascii="Arial" w:hAnsi="Arial"/>
          <w:sz w:val="22"/>
        </w:rPr>
        <w:t>answer to</w:t>
      </w:r>
      <w:r>
        <w:rPr>
          <w:rFonts w:ascii="Arial" w:hAnsi="Arial"/>
          <w:sz w:val="22"/>
        </w:rPr>
        <w:t xml:space="preserve"> a subtraction problem</w:t>
      </w:r>
      <w:r w:rsidR="00A80083">
        <w:rPr>
          <w:rFonts w:ascii="Arial" w:hAnsi="Arial"/>
          <w:sz w:val="22"/>
        </w:rPr>
        <w:t>.</w:t>
      </w:r>
    </w:p>
    <w:p w:rsidR="00676DD5" w:rsidRDefault="00676DD5" w:rsidP="00A80083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difference between </w:t>
      </w:r>
      <w:r w:rsidR="00B47245">
        <w:rPr>
          <w:rFonts w:ascii="Arial" w:hAnsi="Arial"/>
          <w:sz w:val="22"/>
        </w:rPr>
        <w:t xml:space="preserve">10 and </w:t>
      </w:r>
      <w:r w:rsidR="0039349C">
        <w:rPr>
          <w:rFonts w:ascii="Arial" w:hAnsi="Arial"/>
          <w:sz w:val="22"/>
        </w:rPr>
        <w:t>6 is 4.</w:t>
      </w:r>
    </w:p>
    <w:p w:rsidR="00A80083" w:rsidRDefault="00676DD5" w:rsidP="00A80083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difference between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26" type="#_x0000_t75" style="width:12pt;height:29.25pt" o:ole="">
                <v:imagedata r:id="rId11" o:title=""/>
              </v:shape>
              <o:OLEObject Type="Embed" ProgID="Equation.3" ShapeID="_x0000_i1026" DrawAspect="Content" ObjectID="_1615882060" r:id="rId12"/>
            </w:object>
          </mc:Choice>
          <mc:Fallback>
            <w:object>
              <w:drawing>
                <wp:inline distT="0" distB="0" distL="0" distR="0" wp14:anchorId="7172031F" wp14:editId="0B56AD80">
                  <wp:extent cx="152400" cy="371475"/>
                  <wp:effectExtent l="0" t="0" r="0" b="9525"/>
                  <wp:docPr id="2" name="Object 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0" isActiveX="0" linkType=""/>
                              </a:ext>
                            </a:extLst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12" w:progId="Equation.3" w:shapeId="2" w:fieldCodes=""/>
            </w:object>
          </mc:Fallback>
        </mc:AlternateContent>
      </w:r>
      <w:r>
        <w:rPr>
          <w:rFonts w:ascii="Arial" w:hAnsi="Arial"/>
          <w:sz w:val="22"/>
        </w:rPr>
        <w:t xml:space="preserve"> and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27" type="#_x0000_t75" style="width:12pt;height:29.25pt" o:ole="">
                <v:imagedata r:id="rId14" o:title=""/>
              </v:shape>
              <o:OLEObject Type="Embed" ProgID="Equation.3" ShapeID="_x0000_i1027" DrawAspect="Content" ObjectID="_1615882061" r:id="rId15"/>
            </w:object>
          </mc:Choice>
          <mc:Fallback>
            <w:object>
              <w:drawing>
                <wp:inline distT="0" distB="0" distL="0" distR="0" wp14:anchorId="5416A3D2" wp14:editId="4D79FFCA">
                  <wp:extent cx="152400" cy="371475"/>
                  <wp:effectExtent l="0" t="0" r="0" b="9525"/>
                  <wp:docPr id="3" name="Object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3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1" isActiveX="0" linkType=""/>
                              </a:ext>
                            </a:extLst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15" w:progId="Equation.3" w:shapeId="3" w:fieldCodes=""/>
            </w:object>
          </mc:Fallback>
        </mc:AlternateContent>
      </w:r>
      <w:r>
        <w:rPr>
          <w:rFonts w:ascii="Arial" w:hAnsi="Arial"/>
          <w:sz w:val="22"/>
        </w:rPr>
        <w:t xml:space="preserve"> is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28" type="#_x0000_t75" style="width:12pt;height:29.25pt" o:ole="">
                <v:imagedata r:id="rId17" o:title=""/>
              </v:shape>
              <o:OLEObject Type="Embed" ProgID="Equation.3" ShapeID="_x0000_i1028" DrawAspect="Content" ObjectID="_1615882062" r:id="rId18"/>
            </w:object>
          </mc:Choice>
          <mc:Fallback>
            <w:object>
              <w:drawing>
                <wp:inline distT="0" distB="0" distL="0" distR="0" wp14:anchorId="1511C326" wp14:editId="382E7B7E">
                  <wp:extent cx="152400" cy="371475"/>
                  <wp:effectExtent l="0" t="0" r="0" b="9525"/>
                  <wp:docPr id="4" name="Object 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4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2" isActiveX="0" linkType=""/>
                              </a:ext>
                            </a:extLst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18" w:progId="Equation.3" w:shapeId="4" w:fieldCodes=""/>
            </w:object>
          </mc:Fallback>
        </mc:AlternateContent>
      </w:r>
      <w:r w:rsidR="00A80083">
        <w:rPr>
          <w:rFonts w:ascii="Arial" w:hAnsi="Arial"/>
          <w:sz w:val="22"/>
        </w:rPr>
        <w:t>.</w:t>
      </w:r>
    </w:p>
    <w:p w:rsidR="00300FAC" w:rsidRDefault="00300FAC">
      <w:pPr>
        <w:rPr>
          <w:rFonts w:ascii="Arial" w:hAnsi="Arial"/>
          <w:sz w:val="22"/>
        </w:rPr>
      </w:pPr>
    </w:p>
    <w:p w:rsidR="00B47245" w:rsidRPr="00B47245" w:rsidRDefault="00B47245" w:rsidP="00B472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361C79">
        <w:rPr>
          <w:rFonts w:ascii="Arial" w:hAnsi="Arial"/>
          <w:sz w:val="22"/>
        </w:rPr>
        <w:t>equal in value</w:t>
      </w:r>
      <w:r>
        <w:rPr>
          <w:rFonts w:ascii="Arial" w:hAnsi="Arial"/>
          <w:sz w:val="22"/>
        </w:rPr>
        <w:t>.</w:t>
      </w:r>
    </w:p>
    <w:p w:rsidR="00B47245" w:rsidRDefault="00B47245" w:rsidP="00B47245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 denominators but which represent the same amount.</w:t>
      </w:r>
    </w:p>
    <w:p w:rsidR="00B47245" w:rsidRDefault="00B47245" w:rsidP="00B47245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29" type="#_x0000_t75" style="width:12pt;height:29.25pt" o:ole="">
                <v:imagedata r:id="rId20" o:title=""/>
              </v:shape>
              <o:OLEObject Type="Embed" ProgID="Equation.3" ShapeID="_x0000_i1029" DrawAspect="Content" ObjectID="_1615882063" r:id="rId21"/>
            </w:object>
          </mc:Choice>
          <mc:Fallback>
            <w:object>
              <w:drawing>
                <wp:inline distT="0" distB="0" distL="0" distR="0" wp14:anchorId="56F844D1" wp14:editId="652FDF62">
                  <wp:extent cx="152400" cy="371475"/>
                  <wp:effectExtent l="0" t="0" r="0" b="9525"/>
                  <wp:docPr id="5" name="Object 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5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3" isActiveX="0" linkType=""/>
                              </a:ext>
                            </a:extLst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21" w:progId="Equation.3" w:shapeId="5" w:fieldCodes=""/>
            </w:object>
          </mc:Fallback>
        </mc:AlternateContent>
      </w:r>
      <w:r>
        <w:rPr>
          <w:rFonts w:ascii="Arial" w:hAnsi="Arial"/>
          <w:sz w:val="22"/>
        </w:rPr>
        <w:t xml:space="preserve"> and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30" type="#_x0000_t75" style="width:12pt;height:29.25pt" o:ole="">
                <v:imagedata r:id="rId23" o:title=""/>
              </v:shape>
              <o:OLEObject Type="Embed" ProgID="Equation.3" ShapeID="_x0000_i1030" DrawAspect="Content" ObjectID="_1615882064" r:id="rId24"/>
            </w:object>
          </mc:Choice>
          <mc:Fallback>
            <w:object>
              <w:drawing>
                <wp:inline distT="0" distB="0" distL="0" distR="0" wp14:anchorId="4F35B787" wp14:editId="6B039BD1">
                  <wp:extent cx="152400" cy="371475"/>
                  <wp:effectExtent l="0" t="0" r="0" b="9525"/>
                  <wp:docPr id="6" name="Object 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6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4" isActiveX="0" linkType=""/>
                              </a:ext>
                            </a:extLst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24" w:progId="Equation.3" w:shapeId="6" w:fieldCodes=""/>
            </w:object>
          </mc:Fallback>
        </mc:AlternateContent>
      </w:r>
      <w:r>
        <w:rPr>
          <w:rFonts w:ascii="Arial" w:hAnsi="Arial"/>
          <w:sz w:val="22"/>
        </w:rPr>
        <w:t xml:space="preserve"> are equivalent fractions.</w:t>
      </w:r>
    </w:p>
    <w:p w:rsidR="00B47245" w:rsidRPr="00B47245" w:rsidRDefault="00B47245" w:rsidP="00B47245">
      <w:pPr>
        <w:ind w:start="18pt"/>
        <w:rPr>
          <w:rFonts w:ascii="Arial" w:hAnsi="Arial"/>
          <w:sz w:val="22"/>
        </w:rPr>
      </w:pPr>
    </w:p>
    <w:p w:rsidR="00300FAC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number that shows the relationship between a part and a whole</w:t>
      </w:r>
      <w:r w:rsidR="00A80083">
        <w:rPr>
          <w:rFonts w:ascii="Arial" w:hAnsi="Arial"/>
          <w:sz w:val="22"/>
        </w:rPr>
        <w:t>.</w:t>
      </w:r>
    </w:p>
    <w:p w:rsidR="00300FAC" w:rsidRDefault="00676DD5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</w:t>
      </w:r>
      <w:r w:rsidR="00A80083">
        <w:rPr>
          <w:rFonts w:ascii="Arial" w:hAnsi="Arial"/>
          <w:sz w:val="22"/>
        </w:rPr>
        <w:t>.</w:t>
      </w:r>
    </w:p>
    <w:p w:rsidR="00300FAC" w:rsidRDefault="00300FAC">
      <w:pPr>
        <w:ind w:start="18pt"/>
        <w:rPr>
          <w:rFonts w:ascii="Arial" w:hAnsi="Arial"/>
          <w:sz w:val="22"/>
        </w:rPr>
      </w:pPr>
    </w:p>
    <w:p w:rsidR="00300FAC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Least common denominator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least common multiple of the denominators of a set of fractions.</w:t>
      </w:r>
    </w:p>
    <w:p w:rsidR="00676DD5" w:rsidRDefault="00676DD5" w:rsidP="00676DD5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if the fractions are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31" type="#_x0000_t75" style="width:12pt;height:29.25pt" o:ole="">
                <v:imagedata r:id="rId26" o:title=""/>
              </v:shape>
              <o:OLEObject Type="Embed" ProgID="Equation.3" ShapeID="_x0000_i1031" DrawAspect="Content" ObjectID="_1615882065" r:id="rId27"/>
            </w:object>
          </mc:Choice>
          <mc:Fallback>
            <w:object>
              <w:drawing>
                <wp:inline distT="0" distB="0" distL="0" distR="0" wp14:anchorId="72974939" wp14:editId="0B83B5DB">
                  <wp:extent cx="152400" cy="371475"/>
                  <wp:effectExtent l="0" t="0" r="0" b="9525"/>
                  <wp:docPr id="7" name="Object 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7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5" isActiveX="0" linkType=""/>
                              </a:ext>
                            </a:extLst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27" w:progId="Equation.3" w:shapeId="7" w:fieldCodes=""/>
            </w:object>
          </mc:Fallback>
        </mc:AlternateContent>
      </w:r>
      <w:r>
        <w:rPr>
          <w:rFonts w:ascii="Arial" w:hAnsi="Arial"/>
          <w:sz w:val="22"/>
        </w:rPr>
        <w:t xml:space="preserve"> and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32" type="#_x0000_t75" style="width:12pt;height:29.25pt" o:ole="">
                <v:imagedata r:id="rId29" o:title=""/>
              </v:shape>
              <o:OLEObject Type="Embed" ProgID="Equation.3" ShapeID="_x0000_i1032" DrawAspect="Content" ObjectID="_1615882066" r:id="rId30"/>
            </w:object>
          </mc:Choice>
          <mc:Fallback>
            <w:object>
              <w:drawing>
                <wp:inline distT="0" distB="0" distL="0" distR="0" wp14:anchorId="717A4D6A" wp14:editId="59272393">
                  <wp:extent cx="152400" cy="371475"/>
                  <wp:effectExtent l="0" t="0" r="0" b="9525"/>
                  <wp:docPr id="8" name="Object 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8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6" isActiveX="0" linkType=""/>
                              </a:ext>
                            </a:extLst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30" w:progId="Equation.3" w:shapeId="8" w:fieldCodes=""/>
            </w:object>
          </mc:Fallback>
        </mc:AlternateContent>
      </w:r>
      <w:r>
        <w:rPr>
          <w:rFonts w:ascii="Arial" w:hAnsi="Arial"/>
          <w:sz w:val="22"/>
        </w:rPr>
        <w:t>, the least common denominator is 6 because 6 is the least common multiple of 2 and 3.</w:t>
      </w:r>
    </w:p>
    <w:p w:rsidR="00B47245" w:rsidRDefault="00B47245" w:rsidP="00676DD5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Least common denominator is </w:t>
      </w:r>
      <w:r w:rsidR="00361C79">
        <w:rPr>
          <w:rFonts w:ascii="Arial" w:hAnsi="Arial"/>
          <w:sz w:val="22"/>
        </w:rPr>
        <w:t xml:space="preserve">commonly </w:t>
      </w:r>
      <w:r>
        <w:rPr>
          <w:rFonts w:ascii="Arial" w:hAnsi="Arial"/>
          <w:sz w:val="22"/>
        </w:rPr>
        <w:t>abbreviated “LCD.”</w:t>
      </w:r>
    </w:p>
    <w:p w:rsidR="00676DD5" w:rsidRDefault="00676DD5" w:rsidP="00676DD5">
      <w:pPr>
        <w:ind w:start="18pt"/>
        <w:rPr>
          <w:rFonts w:ascii="Arial" w:hAnsi="Arial"/>
          <w:sz w:val="22"/>
        </w:rPr>
      </w:pPr>
    </w:p>
    <w:p w:rsidR="00676DD5" w:rsidRDefault="00676DD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</w:t>
      </w:r>
    </w:p>
    <w:p w:rsidR="00676DD5" w:rsidRDefault="00676DD5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834A94" w:rsidRDefault="00676DD5" w:rsidP="00676DD5">
      <w:pPr>
        <w:numPr>
          <w:ilvl w:val="1"/>
          <w:numId w:val="12"/>
        </w:numPr>
        <w:spacing w:before="6p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fraction </w:t>
      </w:r>
      <w:r w:rsidR="0039349C" w:rsidRPr="0039349C">
        <w:rPr>
          <w:rFonts w:ascii="Arial" w:hAnsi="Arial"/>
          <w:position w:val="-22"/>
          <w:sz w:val="22"/>
        </w:rPr>
        <mc:AlternateContent>
          <mc:Choice Requires="v">
            <w:object w:dxaOrig="12pt" w:dyaOrig="29pt">
              <v:shape id="_x0000_i1033" type="#_x0000_t75" style="width:12pt;height:29.25pt" o:ole="">
                <v:imagedata r:id="rId32" o:title=""/>
              </v:shape>
              <o:OLEObject Type="Embed" ProgID="Equation.3" ShapeID="_x0000_i1033" DrawAspect="Content" ObjectID="_1615882067" r:id="rId33"/>
            </w:object>
          </mc:Choice>
          <mc:Fallback>
            <w:object>
              <w:drawing>
                <wp:inline distT="0" distB="0" distL="0" distR="0" wp14:anchorId="1A9B1FF6" wp14:editId="44C6A45D">
                  <wp:extent cx="152400" cy="371475"/>
                  <wp:effectExtent l="0" t="0" r="0" b="9525"/>
                  <wp:docPr id="9" name="Object 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9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615882067" isActiveX="0" linkType=""/>
                              </a:ext>
                            </a:extLst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33" w:progId="Equation.3" w:shapeId="9" w:fieldCodes=""/>
            </w:object>
          </mc:Fallback>
        </mc:AlternateContent>
      </w:r>
      <w:r>
        <w:rPr>
          <w:rFonts w:ascii="Arial" w:hAnsi="Arial"/>
          <w:sz w:val="22"/>
        </w:rPr>
        <w:t>, the numerator shows that the fraction refers to 3 of the 5 equal parts that make up the whole.</w:t>
      </w:r>
    </w:p>
    <w:sectPr w:rsidR="00834A94">
      <w:footerReference w:type="default" r:id="rId35"/>
      <w:headerReference w:type="first" r:id="rId36"/>
      <w:footerReference w:type="first" r:id="rId37"/>
      <w:type w:val="continuous"/>
      <w:pgSz w:w="612pt" w:h="792pt" w:code="1"/>
      <w:pgMar w:top="72pt" w:right="72pt" w:bottom="72pt" w:left="72pt" w:header="36pt" w:footer="36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E0167" w:rsidRDefault="007E0167">
      <w:r>
        <w:separator/>
      </w:r>
    </w:p>
  </w:endnote>
  <w:endnote w:type="continuationSeparator" w:id="0">
    <w:p w:rsidR="007E0167" w:rsidRDefault="007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00FAC" w:rsidRDefault="0097149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00FAC" w:rsidRDefault="0097149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9334500</wp:posOffset>
          </wp:positionV>
          <wp:extent cx="7863840" cy="721995"/>
          <wp:effectExtent l="0" t="0" r="0" b="0"/>
          <wp:wrapNone/>
          <wp:docPr id="7" name="Picture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E0167" w:rsidRDefault="007E0167">
      <w:r>
        <w:separator/>
      </w:r>
    </w:p>
  </w:footnote>
  <w:footnote w:type="continuationSeparator" w:id="0">
    <w:p w:rsidR="007E0167" w:rsidRDefault="007E016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00FAC" w:rsidRDefault="0097149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839075" cy="714375"/>
          <wp:effectExtent l="0" t="0" r="0" b="0"/>
          <wp:wrapNone/>
          <wp:docPr id="6" name="Picture 2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252pt"/>
        </w:tabs>
        <w:ind w:start="252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360pt"/>
        </w:tabs>
        <w:ind w:start="360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96pt"/>
        </w:tabs>
        <w:ind w:start="396pt" w:hanging="18pt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start"/>
      <w:pPr>
        <w:tabs>
          <w:tab w:val="num" w:pos="162pt"/>
        </w:tabs>
        <w:ind w:start="162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98pt"/>
        </w:tabs>
        <w:ind w:start="198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234pt"/>
        </w:tabs>
        <w:ind w:start="234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70pt"/>
        </w:tabs>
        <w:ind w:start="270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306pt"/>
        </w:tabs>
        <w:ind w:start="306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342pt"/>
        </w:tabs>
        <w:ind w:start="342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78pt"/>
        </w:tabs>
        <w:ind w:start="378pt" w:hanging="18pt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start"/>
      <w:pPr>
        <w:tabs>
          <w:tab w:val="num" w:pos="72pt"/>
        </w:tabs>
        <w:ind w:start="72pt" w:hanging="18pt"/>
      </w:pPr>
      <w:rPr>
        <w:rFonts w:ascii="Wingdings" w:hAnsi="Wingdings" w:hint="default"/>
      </w:rPr>
    </w:lvl>
    <w:lvl w:ilvl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252pt"/>
        </w:tabs>
        <w:ind w:start="252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360pt"/>
        </w:tabs>
        <w:ind w:start="360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96pt"/>
        </w:tabs>
        <w:ind w:start="396pt" w:hanging="18pt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start"/>
      <w:pPr>
        <w:tabs>
          <w:tab w:val="num" w:pos="108pt"/>
        </w:tabs>
        <w:ind w:start="108pt" w:hanging="18pt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216pt"/>
        </w:tabs>
        <w:ind w:start="216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324pt"/>
        </w:tabs>
        <w:ind w:start="324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60pt"/>
        </w:tabs>
        <w:ind w:start="360pt" w:hanging="18pt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hint="default"/>
      </w:rPr>
    </w:lvl>
    <w:lvl w:ilvl="1">
      <w:start w:val="1"/>
      <w:numFmt w:val="bullet"/>
      <w:lvlText w:val="o"/>
      <w:lvlJc w:val="start"/>
      <w:pPr>
        <w:tabs>
          <w:tab w:val="num" w:pos="36pt"/>
        </w:tabs>
        <w:ind w:start="36pt" w:hanging="18pt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start"/>
      <w:pPr>
        <w:tabs>
          <w:tab w:val="num" w:pos="36pt"/>
        </w:tabs>
        <w:ind w:start="36pt" w:hanging="18pt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start"/>
      <w:pPr>
        <w:tabs>
          <w:tab w:val="num" w:pos="126pt"/>
        </w:tabs>
        <w:ind w:start="126pt" w:hanging="18pt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62pt"/>
        </w:tabs>
        <w:ind w:start="162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98pt"/>
        </w:tabs>
        <w:ind w:start="198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234pt"/>
        </w:tabs>
        <w:ind w:start="234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70pt"/>
        </w:tabs>
        <w:ind w:start="270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306pt"/>
        </w:tabs>
        <w:ind w:start="306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342pt"/>
        </w:tabs>
        <w:ind w:start="342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78pt"/>
        </w:tabs>
        <w:ind w:start="378pt" w:hanging="18pt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start"/>
      <w:pPr>
        <w:tabs>
          <w:tab w:val="num" w:pos="36pt"/>
        </w:tabs>
        <w:ind w:start="36pt" w:hanging="18pt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start"/>
      <w:pPr>
        <w:tabs>
          <w:tab w:val="num" w:pos="126pt"/>
        </w:tabs>
        <w:ind w:start="126pt" w:hanging="18pt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62pt"/>
        </w:tabs>
        <w:ind w:start="162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98pt"/>
        </w:tabs>
        <w:ind w:start="198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234pt"/>
        </w:tabs>
        <w:ind w:start="234pt" w:hanging="18pt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70pt"/>
        </w:tabs>
        <w:ind w:start="270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306pt"/>
        </w:tabs>
        <w:ind w:start="306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342pt"/>
        </w:tabs>
        <w:ind w:start="342pt" w:hanging="18pt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78pt"/>
        </w:tabs>
        <w:ind w:start="378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9.35pt"/>
  <w:drawingGridVerticalSpacing w:val="9.3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47DC3"/>
    <w:rsid w:val="000C07CF"/>
    <w:rsid w:val="00102E37"/>
    <w:rsid w:val="001D6816"/>
    <w:rsid w:val="00206CDA"/>
    <w:rsid w:val="00226B7F"/>
    <w:rsid w:val="002D05A2"/>
    <w:rsid w:val="002D77CA"/>
    <w:rsid w:val="00300FAC"/>
    <w:rsid w:val="00346270"/>
    <w:rsid w:val="00361C79"/>
    <w:rsid w:val="0039349C"/>
    <w:rsid w:val="003950A5"/>
    <w:rsid w:val="003D4EA1"/>
    <w:rsid w:val="004420B4"/>
    <w:rsid w:val="004E2CC4"/>
    <w:rsid w:val="00533280"/>
    <w:rsid w:val="005A6AC8"/>
    <w:rsid w:val="005E21C5"/>
    <w:rsid w:val="005F21B1"/>
    <w:rsid w:val="005F56C0"/>
    <w:rsid w:val="00676DD5"/>
    <w:rsid w:val="006B24C3"/>
    <w:rsid w:val="007C33AE"/>
    <w:rsid w:val="007E0167"/>
    <w:rsid w:val="007E293D"/>
    <w:rsid w:val="00834A94"/>
    <w:rsid w:val="00844BD3"/>
    <w:rsid w:val="008468AC"/>
    <w:rsid w:val="008C26B8"/>
    <w:rsid w:val="00964DAA"/>
    <w:rsid w:val="0097149B"/>
    <w:rsid w:val="009A3220"/>
    <w:rsid w:val="009D0238"/>
    <w:rsid w:val="009D1974"/>
    <w:rsid w:val="00A50D46"/>
    <w:rsid w:val="00A80083"/>
    <w:rsid w:val="00AD0D94"/>
    <w:rsid w:val="00B037E8"/>
    <w:rsid w:val="00B47245"/>
    <w:rsid w:val="00B62069"/>
    <w:rsid w:val="00B91C51"/>
    <w:rsid w:val="00BF4283"/>
    <w:rsid w:val="00C27F66"/>
    <w:rsid w:val="00C47249"/>
    <w:rsid w:val="00C8407B"/>
    <w:rsid w:val="00D317D5"/>
    <w:rsid w:val="00DD5AD5"/>
    <w:rsid w:val="00E24132"/>
    <w:rsid w:val="00E541CB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E8B928A-4964-4D9A-ABBB-7429EE42F4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5pt" w:beforeAutospacing="1" w:after="5pt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wmf"/><Relationship Id="rId13" Type="http://purl.oclc.org/ooxml/officeDocument/relationships/image" Target="media/image5.wmf"/><Relationship Id="rId18" Type="http://purl.oclc.org/ooxml/officeDocument/relationships/oleObject" Target="embeddings/oleObject4.bin"/><Relationship Id="rId26" Type="http://purl.oclc.org/ooxml/officeDocument/relationships/image" Target="media/image14.wmf"/><Relationship Id="rId39" Type="http://purl.oclc.org/ooxml/officeDocument/relationships/theme" Target="theme/theme1.xml"/><Relationship Id="rId3" Type="http://purl.oclc.org/ooxml/officeDocument/relationships/settings" Target="settings.xml"/><Relationship Id="rId21" Type="http://purl.oclc.org/ooxml/officeDocument/relationships/oleObject" Target="embeddings/oleObject5.bin"/><Relationship Id="rId34" Type="http://purl.oclc.org/ooxml/officeDocument/relationships/image" Target="media/image19.wmf"/><Relationship Id="rId7" Type="http://purl.oclc.org/ooxml/officeDocument/relationships/image" Target="media/image1.png"/><Relationship Id="rId12" Type="http://purl.oclc.org/ooxml/officeDocument/relationships/oleObject" Target="embeddings/oleObject2.bin"/><Relationship Id="rId17" Type="http://purl.oclc.org/ooxml/officeDocument/relationships/image" Target="media/image8.wmf"/><Relationship Id="rId25" Type="http://purl.oclc.org/ooxml/officeDocument/relationships/image" Target="media/image13.wmf"/><Relationship Id="rId33" Type="http://purl.oclc.org/ooxml/officeDocument/relationships/oleObject" Target="embeddings/oleObject9.bin"/><Relationship Id="rId38" Type="http://purl.oclc.org/ooxml/officeDocument/relationships/fontTable" Target="fontTable.xml"/><Relationship Id="rId2" Type="http://purl.oclc.org/ooxml/officeDocument/relationships/styles" Target="styles.xml"/><Relationship Id="rId16" Type="http://purl.oclc.org/ooxml/officeDocument/relationships/image" Target="media/image7.wmf"/><Relationship Id="rId20" Type="http://purl.oclc.org/ooxml/officeDocument/relationships/image" Target="media/image10.wmf"/><Relationship Id="rId29" Type="http://purl.oclc.org/ooxml/officeDocument/relationships/image" Target="media/image16.wmf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image" Target="media/image4.wmf"/><Relationship Id="rId24" Type="http://purl.oclc.org/ooxml/officeDocument/relationships/oleObject" Target="embeddings/oleObject6.bin"/><Relationship Id="rId32" Type="http://purl.oclc.org/ooxml/officeDocument/relationships/image" Target="media/image18.wmf"/><Relationship Id="rId37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oleObject" Target="embeddings/oleObject3.bin"/><Relationship Id="rId23" Type="http://purl.oclc.org/ooxml/officeDocument/relationships/image" Target="media/image12.wmf"/><Relationship Id="rId28" Type="http://purl.oclc.org/ooxml/officeDocument/relationships/image" Target="media/image15.wmf"/><Relationship Id="rId36" Type="http://purl.oclc.org/ooxml/officeDocument/relationships/header" Target="header1.xml"/><Relationship Id="rId10" Type="http://purl.oclc.org/ooxml/officeDocument/relationships/image" Target="media/image3.wmf"/><Relationship Id="rId19" Type="http://purl.oclc.org/ooxml/officeDocument/relationships/image" Target="media/image9.wmf"/><Relationship Id="rId31" Type="http://purl.oclc.org/ooxml/officeDocument/relationships/image" Target="media/image17.wmf"/><Relationship Id="rId4" Type="http://purl.oclc.org/ooxml/officeDocument/relationships/webSettings" Target="webSettings.xml"/><Relationship Id="rId9" Type="http://purl.oclc.org/ooxml/officeDocument/relationships/oleObject" Target="embeddings/oleObject1.bin"/><Relationship Id="rId14" Type="http://purl.oclc.org/ooxml/officeDocument/relationships/image" Target="media/image6.wmf"/><Relationship Id="rId22" Type="http://purl.oclc.org/ooxml/officeDocument/relationships/image" Target="media/image11.wmf"/><Relationship Id="rId27" Type="http://purl.oclc.org/ooxml/officeDocument/relationships/oleObject" Target="embeddings/oleObject7.bin"/><Relationship Id="rId30" Type="http://purl.oclc.org/ooxml/officeDocument/relationships/oleObject" Target="embeddings/oleObject8.bin"/><Relationship Id="rId35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0.jpe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Fractions (Area Models)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Fractions (Area Models)</dc:title>
  <dc:subject/>
  <dc:creator>ExploreLearning</dc:creator>
  <cp:keywords/>
  <dc:description/>
  <cp:lastModifiedBy>Dan Moriarty</cp:lastModifiedBy>
  <cp:revision>2</cp:revision>
  <cp:lastPrinted>2007-02-01T20:34:00Z</cp:lastPrinted>
  <dcterms:created xsi:type="dcterms:W3CDTF">2019-04-04T15:20:00Z</dcterms:created>
  <dcterms:modified xsi:type="dcterms:W3CDTF">2019-04-04T15:20:00Z</dcterms:modified>
</cp:coreProperties>
</file>